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FC11F" w14:textId="1C3A4B51" w:rsidR="007A3098" w:rsidRDefault="001B322F" w:rsidP="007A3098">
      <w:pPr>
        <w:pStyle w:val="NoSpacing"/>
        <w:spacing w:line="276" w:lineRule="auto"/>
        <w:jc w:val="center"/>
        <w:rPr>
          <w:rFonts w:cstheme="minorHAnsi"/>
          <w:b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5F69468F" wp14:editId="394AC90E">
            <wp:extent cx="2423160" cy="969264"/>
            <wp:effectExtent l="0" t="0" r="2540" b="0"/>
            <wp:docPr id="1556611786" name="Picture 155661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11786" name="Picture 155661178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0" t="20583" r="7671" b="13804"/>
                    <a:stretch/>
                  </pic:blipFill>
                  <pic:spPr bwMode="auto">
                    <a:xfrm>
                      <a:off x="0" y="0"/>
                      <a:ext cx="2423160" cy="96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07762" w14:textId="3EEB72A2" w:rsidR="007A3098" w:rsidRDefault="00995339" w:rsidP="007A3098">
      <w:pPr>
        <w:pStyle w:val="NoSpacing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6208F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07D7" wp14:editId="3693EB79">
                <wp:simplePos x="0" y="0"/>
                <wp:positionH relativeFrom="margin">
                  <wp:posOffset>4046855</wp:posOffset>
                </wp:positionH>
                <wp:positionV relativeFrom="paragraph">
                  <wp:posOffset>135869</wp:posOffset>
                </wp:positionV>
                <wp:extent cx="184404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321A97" w14:textId="77777777" w:rsidR="007A3098" w:rsidRPr="006208FE" w:rsidRDefault="007A3098" w:rsidP="007A309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208FE">
                              <w:rPr>
                                <w:rFonts w:asciiTheme="minorHAnsi" w:hAnsiTheme="minorHAnsi" w:cstheme="minorHAnsi"/>
                                <w:b/>
                              </w:rPr>
                              <w:t>FOR IMMEDIATE RELEASE</w:t>
                            </w:r>
                          </w:p>
                          <w:p w14:paraId="7332FB4D" w14:textId="77777777" w:rsidR="007A3098" w:rsidRPr="006208FE" w:rsidRDefault="007A3098" w:rsidP="007A309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5D07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65pt;margin-top:10.7pt;width:145.2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" filled="f" stroked="f" strokeweight=".5pt">
                <v:textbox>
                  <w:txbxContent>
                    <w:p w14:paraId="4E321A97" w14:textId="77777777" w:rsidR="007A3098" w:rsidRPr="006208FE" w:rsidRDefault="007A3098" w:rsidP="007A309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208FE">
                        <w:rPr>
                          <w:rFonts w:asciiTheme="minorHAnsi" w:hAnsiTheme="minorHAnsi" w:cstheme="minorHAnsi"/>
                          <w:b/>
                        </w:rPr>
                        <w:t>FOR IMMEDIATE RELEASE</w:t>
                      </w:r>
                    </w:p>
                    <w:p w14:paraId="7332FB4D" w14:textId="77777777" w:rsidR="007A3098" w:rsidRPr="006208FE" w:rsidRDefault="007A3098" w:rsidP="007A309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0E27C" w14:textId="74BE2DAE" w:rsidR="007A3098" w:rsidRPr="001D6B7B" w:rsidRDefault="007A3098" w:rsidP="007A3098">
      <w:pPr>
        <w:pStyle w:val="NoSpacing"/>
        <w:spacing w:line="276" w:lineRule="auto"/>
        <w:rPr>
          <w:rFonts w:cstheme="minorHAnsi"/>
          <w:b/>
          <w:sz w:val="20"/>
          <w:szCs w:val="20"/>
        </w:rPr>
      </w:pPr>
      <w:r w:rsidRPr="001D6B7B">
        <w:rPr>
          <w:rFonts w:cstheme="minorHAnsi"/>
          <w:b/>
          <w:sz w:val="20"/>
          <w:szCs w:val="20"/>
        </w:rPr>
        <w:t xml:space="preserve">Contact: </w:t>
      </w:r>
      <w:r w:rsidRPr="001D6B7B">
        <w:rPr>
          <w:rFonts w:cstheme="minorHAnsi"/>
          <w:b/>
          <w:sz w:val="20"/>
          <w:szCs w:val="20"/>
        </w:rPr>
        <w:tab/>
      </w:r>
    </w:p>
    <w:p w14:paraId="442DA0DD" w14:textId="607D2CCB" w:rsidR="007A3098" w:rsidRPr="001D6B7B" w:rsidRDefault="00F13173" w:rsidP="007A3098">
      <w:pPr>
        <w:pStyle w:val="NoSpacing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Julie Leber</w:t>
      </w:r>
      <w:r w:rsidR="007A3098">
        <w:rPr>
          <w:rFonts w:cstheme="minorHAnsi"/>
          <w:sz w:val="20"/>
          <w:szCs w:val="20"/>
        </w:rPr>
        <w:tab/>
      </w:r>
      <w:r w:rsidR="007A3098">
        <w:rPr>
          <w:rFonts w:cstheme="minorHAnsi"/>
          <w:sz w:val="20"/>
          <w:szCs w:val="20"/>
        </w:rPr>
        <w:tab/>
      </w:r>
      <w:r w:rsidR="007A3098">
        <w:rPr>
          <w:rFonts w:cstheme="minorHAnsi"/>
          <w:sz w:val="20"/>
          <w:szCs w:val="20"/>
        </w:rPr>
        <w:tab/>
      </w:r>
      <w:r w:rsidR="007A3098">
        <w:rPr>
          <w:rFonts w:cstheme="minorHAnsi"/>
          <w:sz w:val="20"/>
          <w:szCs w:val="20"/>
        </w:rPr>
        <w:tab/>
      </w:r>
      <w:r w:rsidR="007A3098">
        <w:rPr>
          <w:rFonts w:cstheme="minorHAnsi"/>
          <w:sz w:val="20"/>
          <w:szCs w:val="20"/>
        </w:rPr>
        <w:tab/>
      </w:r>
      <w:r w:rsidR="007A3098">
        <w:rPr>
          <w:rFonts w:cstheme="minorHAnsi"/>
          <w:sz w:val="20"/>
          <w:szCs w:val="20"/>
        </w:rPr>
        <w:tab/>
      </w:r>
      <w:r w:rsidR="007A3098" w:rsidRPr="001D6B7B">
        <w:rPr>
          <w:rFonts w:cstheme="minorHAnsi"/>
          <w:sz w:val="20"/>
          <w:szCs w:val="20"/>
        </w:rPr>
        <w:tab/>
      </w:r>
      <w:r w:rsidR="007A3098" w:rsidRPr="001D6B7B">
        <w:rPr>
          <w:rFonts w:cstheme="minorHAnsi"/>
          <w:sz w:val="20"/>
          <w:szCs w:val="20"/>
        </w:rPr>
        <w:tab/>
      </w:r>
      <w:r w:rsidR="007A3098" w:rsidRPr="001D6B7B">
        <w:rPr>
          <w:rFonts w:cstheme="minorHAnsi"/>
          <w:sz w:val="20"/>
          <w:szCs w:val="20"/>
        </w:rPr>
        <w:tab/>
      </w:r>
    </w:p>
    <w:p w14:paraId="258114C1" w14:textId="77777777" w:rsidR="007A3098" w:rsidRPr="001D6B7B" w:rsidRDefault="007A3098" w:rsidP="007A3098">
      <w:pPr>
        <w:pStyle w:val="NoSpacing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1D6B7B">
        <w:rPr>
          <w:rFonts w:cstheme="minorHAnsi"/>
          <w:sz w:val="20"/>
          <w:szCs w:val="20"/>
        </w:rPr>
        <w:t>potlight Marketing Communications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6405FB1D" w14:textId="119E0214" w:rsidR="007A3098" w:rsidRPr="001D6B7B" w:rsidRDefault="007A3098" w:rsidP="007A3098">
      <w:pPr>
        <w:pStyle w:val="NoSpacing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949.427.13</w:t>
      </w:r>
      <w:r w:rsidR="00EA7819">
        <w:rPr>
          <w:rFonts w:cstheme="minorHAnsi"/>
          <w:sz w:val="20"/>
          <w:szCs w:val="20"/>
        </w:rPr>
        <w:t>91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547F80EB" w14:textId="044E2F57" w:rsidR="007A3098" w:rsidRPr="001D6B7B" w:rsidRDefault="007C6827" w:rsidP="007A3098">
      <w:pPr>
        <w:pStyle w:val="NoSpacing"/>
        <w:spacing w:line="276" w:lineRule="auto"/>
        <w:rPr>
          <w:rFonts w:cstheme="minorHAnsi"/>
          <w:sz w:val="20"/>
          <w:szCs w:val="20"/>
        </w:rPr>
      </w:pPr>
      <w:hyperlink r:id="rId12" w:history="1">
        <w:r w:rsidR="00F13173">
          <w:rPr>
            <w:rStyle w:val="Hyperlink"/>
            <w:sz w:val="20"/>
            <w:szCs w:val="20"/>
          </w:rPr>
          <w:t>julie@spotlightmarcom.com</w:t>
        </w:r>
      </w:hyperlink>
      <w:r w:rsidR="007A3098" w:rsidRPr="00E8347B">
        <w:rPr>
          <w:sz w:val="20"/>
          <w:szCs w:val="20"/>
        </w:rPr>
        <w:tab/>
      </w:r>
      <w:r w:rsidR="007A3098">
        <w:tab/>
      </w:r>
    </w:p>
    <w:p w14:paraId="1175AF49" w14:textId="77777777" w:rsidR="00382C86" w:rsidRDefault="00382C86" w:rsidP="00382C8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51B94C52" w14:textId="2F112556" w:rsidR="00D50F98" w:rsidRDefault="00C33FAA" w:rsidP="00D50F98">
      <w:pPr>
        <w:pStyle w:val="NoSpacing"/>
        <w:spacing w:line="276" w:lineRule="auto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>HPA Exchange</w:t>
      </w:r>
      <w:r w:rsidR="00995339">
        <w:rPr>
          <w:b/>
          <w:sz w:val="32"/>
          <w:szCs w:val="32"/>
        </w:rPr>
        <w:t xml:space="preserve"> </w:t>
      </w:r>
      <w:r w:rsidR="00BC6E65">
        <w:rPr>
          <w:b/>
          <w:sz w:val="32"/>
          <w:szCs w:val="32"/>
        </w:rPr>
        <w:t>Launches $1</w:t>
      </w:r>
      <w:r w:rsidR="00792484">
        <w:rPr>
          <w:b/>
          <w:sz w:val="32"/>
          <w:szCs w:val="32"/>
        </w:rPr>
        <w:t>5.4</w:t>
      </w:r>
      <w:r w:rsidR="00BC6E65">
        <w:rPr>
          <w:b/>
          <w:sz w:val="32"/>
          <w:szCs w:val="32"/>
        </w:rPr>
        <w:t xml:space="preserve"> Million DST Offering of a Modern Micro-Hospital Leased to an Investment-Grade Tenant</w:t>
      </w:r>
      <w:r w:rsidR="003C7815">
        <w:rPr>
          <w:b/>
          <w:sz w:val="32"/>
          <w:szCs w:val="32"/>
        </w:rPr>
        <w:t xml:space="preserve"> </w:t>
      </w:r>
    </w:p>
    <w:p w14:paraId="2E59CA6D" w14:textId="77777777" w:rsidR="00C33FAA" w:rsidRDefault="00C33FAA" w:rsidP="00D50F98">
      <w:pPr>
        <w:jc w:val="center"/>
        <w:rPr>
          <w:rFonts w:asciiTheme="minorHAnsi" w:hAnsiTheme="minorHAnsi"/>
          <w:i/>
          <w:sz w:val="20"/>
          <w:szCs w:val="20"/>
        </w:rPr>
      </w:pPr>
    </w:p>
    <w:p w14:paraId="576F3C04" w14:textId="4544461F" w:rsidR="00C8154F" w:rsidRDefault="00070DF7" w:rsidP="00382C8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PHOENIX</w:t>
      </w:r>
      <w:r w:rsidR="00BC6E65">
        <w:rPr>
          <w:rFonts w:asciiTheme="minorHAnsi" w:hAnsiTheme="minorHAnsi"/>
          <w:sz w:val="22"/>
          <w:szCs w:val="22"/>
        </w:rPr>
        <w:t xml:space="preserve"> </w:t>
      </w:r>
      <w:r w:rsidR="007A3098" w:rsidRPr="001B322F">
        <w:rPr>
          <w:rFonts w:asciiTheme="minorHAnsi" w:hAnsiTheme="minorHAnsi"/>
          <w:sz w:val="22"/>
          <w:szCs w:val="22"/>
        </w:rPr>
        <w:t>(</w:t>
      </w:r>
      <w:proofErr w:type="gramStart"/>
      <w:r w:rsidR="00BC6E65">
        <w:rPr>
          <w:rFonts w:asciiTheme="minorHAnsi" w:hAnsiTheme="minorHAnsi"/>
          <w:sz w:val="22"/>
          <w:szCs w:val="22"/>
        </w:rPr>
        <w:t xml:space="preserve">Sept. </w:t>
      </w:r>
      <w:r>
        <w:rPr>
          <w:rFonts w:asciiTheme="minorHAnsi" w:hAnsiTheme="minorHAnsi"/>
          <w:sz w:val="22"/>
          <w:szCs w:val="22"/>
        </w:rPr>
        <w:t>X</w:t>
      </w:r>
      <w:r w:rsidR="00BC6E65">
        <w:rPr>
          <w:rFonts w:asciiTheme="minorHAnsi" w:hAnsiTheme="minorHAnsi"/>
          <w:sz w:val="22"/>
          <w:szCs w:val="22"/>
        </w:rPr>
        <w:t>X</w:t>
      </w:r>
      <w:r w:rsidR="007A3098" w:rsidRPr="001B322F">
        <w:rPr>
          <w:rFonts w:asciiTheme="minorHAnsi" w:hAnsiTheme="minorHAnsi"/>
          <w:sz w:val="22"/>
          <w:szCs w:val="22"/>
        </w:rPr>
        <w:t>,</w:t>
      </w:r>
      <w:proofErr w:type="gramEnd"/>
      <w:r w:rsidR="007A3098" w:rsidRPr="001B322F">
        <w:rPr>
          <w:rFonts w:asciiTheme="minorHAnsi" w:hAnsiTheme="minorHAnsi"/>
          <w:sz w:val="22"/>
          <w:szCs w:val="22"/>
        </w:rPr>
        <w:t xml:space="preserve"> 202</w:t>
      </w:r>
      <w:r w:rsidR="008D033A" w:rsidRPr="001B322F">
        <w:rPr>
          <w:rFonts w:asciiTheme="minorHAnsi" w:hAnsiTheme="minorHAnsi"/>
          <w:sz w:val="22"/>
          <w:szCs w:val="22"/>
        </w:rPr>
        <w:t>4</w:t>
      </w:r>
      <w:r w:rsidR="007A3098" w:rsidRPr="001B322F">
        <w:rPr>
          <w:rFonts w:asciiTheme="minorHAnsi" w:hAnsiTheme="minorHAnsi"/>
          <w:sz w:val="22"/>
          <w:szCs w:val="22"/>
        </w:rPr>
        <w:t xml:space="preserve">) – </w:t>
      </w:r>
      <w:r w:rsidR="00C33FAA">
        <w:rPr>
          <w:rFonts w:asciiTheme="minorHAnsi" w:hAnsiTheme="minorHAnsi"/>
          <w:sz w:val="22"/>
          <w:szCs w:val="22"/>
        </w:rPr>
        <w:t>HPA Exchange</w:t>
      </w:r>
      <w:r w:rsidR="009872A3">
        <w:rPr>
          <w:rFonts w:asciiTheme="minorHAnsi" w:hAnsiTheme="minorHAnsi"/>
          <w:sz w:val="22"/>
          <w:szCs w:val="22"/>
        </w:rPr>
        <w:t xml:space="preserve"> LLC</w:t>
      </w:r>
      <w:r w:rsidR="00C33FAA">
        <w:rPr>
          <w:rFonts w:asciiTheme="minorHAnsi" w:hAnsiTheme="minorHAnsi"/>
          <w:sz w:val="22"/>
          <w:szCs w:val="22"/>
        </w:rPr>
        <w:t xml:space="preserve">, </w:t>
      </w:r>
      <w:r w:rsidR="000B37DA">
        <w:rPr>
          <w:rFonts w:asciiTheme="minorHAnsi" w:hAnsiTheme="minorHAnsi"/>
          <w:sz w:val="22"/>
          <w:szCs w:val="22"/>
        </w:rPr>
        <w:t>a healthcare real estate investment sponsor</w:t>
      </w:r>
      <w:r w:rsidR="00E86C8B">
        <w:rPr>
          <w:rFonts w:asciiTheme="minorHAnsi" w:hAnsiTheme="minorHAnsi"/>
          <w:sz w:val="22"/>
          <w:szCs w:val="22"/>
        </w:rPr>
        <w:t xml:space="preserve"> created by the executive team of Healthcare Property Advisors, a vertically integrated healthcare real estate owner and operato</w:t>
      </w:r>
      <w:r w:rsidR="00321A54">
        <w:rPr>
          <w:rFonts w:asciiTheme="minorHAnsi" w:hAnsiTheme="minorHAnsi"/>
          <w:sz w:val="22"/>
          <w:szCs w:val="22"/>
        </w:rPr>
        <w:t>r</w:t>
      </w:r>
      <w:r w:rsidR="000B37DA">
        <w:rPr>
          <w:rFonts w:asciiTheme="minorHAnsi" w:hAnsiTheme="minorHAnsi"/>
          <w:sz w:val="22"/>
          <w:szCs w:val="22"/>
        </w:rPr>
        <w:t>, announced today</w:t>
      </w:r>
      <w:r w:rsidR="00BC6E65">
        <w:rPr>
          <w:rFonts w:asciiTheme="minorHAnsi" w:hAnsiTheme="minorHAnsi"/>
          <w:sz w:val="22"/>
          <w:szCs w:val="22"/>
        </w:rPr>
        <w:t xml:space="preserve"> the launch of HPA Dignity Health Arizona DST</w:t>
      </w:r>
      <w:r w:rsidR="00D72784">
        <w:rPr>
          <w:rFonts w:asciiTheme="minorHAnsi" w:hAnsiTheme="minorHAnsi"/>
          <w:sz w:val="22"/>
          <w:szCs w:val="22"/>
        </w:rPr>
        <w:t>. Seeking to raise $</w:t>
      </w:r>
      <w:r w:rsidR="00FC1D52">
        <w:rPr>
          <w:rFonts w:asciiTheme="minorHAnsi" w:hAnsiTheme="minorHAnsi"/>
          <w:sz w:val="22"/>
          <w:szCs w:val="22"/>
        </w:rPr>
        <w:t>15.4</w:t>
      </w:r>
      <w:r w:rsidR="00D72784">
        <w:rPr>
          <w:rFonts w:asciiTheme="minorHAnsi" w:hAnsiTheme="minorHAnsi"/>
          <w:sz w:val="22"/>
          <w:szCs w:val="22"/>
        </w:rPr>
        <w:t xml:space="preserve"> million in equity from accredited investors, the </w:t>
      </w:r>
      <w:r w:rsidR="002F3EF2">
        <w:rPr>
          <w:rFonts w:asciiTheme="minorHAnsi" w:hAnsiTheme="minorHAnsi"/>
          <w:sz w:val="22"/>
          <w:szCs w:val="22"/>
        </w:rPr>
        <w:t xml:space="preserve">Delaware statutory trust </w:t>
      </w:r>
      <w:r w:rsidR="00D72784">
        <w:rPr>
          <w:rFonts w:asciiTheme="minorHAnsi" w:hAnsiTheme="minorHAnsi"/>
          <w:sz w:val="22"/>
          <w:szCs w:val="22"/>
        </w:rPr>
        <w:t xml:space="preserve">offering consists of a full-service micro-hospital in Phoenix that is </w:t>
      </w:r>
      <w:r w:rsidR="002560E6">
        <w:rPr>
          <w:rFonts w:asciiTheme="minorHAnsi" w:hAnsiTheme="minorHAnsi"/>
          <w:sz w:val="22"/>
          <w:szCs w:val="22"/>
        </w:rPr>
        <w:t xml:space="preserve">100% leased </w:t>
      </w:r>
      <w:r w:rsidR="00C8154F">
        <w:rPr>
          <w:rFonts w:asciiTheme="minorHAnsi" w:hAnsiTheme="minorHAnsi"/>
          <w:sz w:val="22"/>
          <w:szCs w:val="22"/>
        </w:rPr>
        <w:t xml:space="preserve">on an absolute triple net basis </w:t>
      </w:r>
      <w:r w:rsidR="002560E6">
        <w:rPr>
          <w:rFonts w:asciiTheme="minorHAnsi" w:hAnsiTheme="minorHAnsi"/>
          <w:sz w:val="22"/>
          <w:szCs w:val="22"/>
        </w:rPr>
        <w:t xml:space="preserve">to Dignity Health. </w:t>
      </w:r>
    </w:p>
    <w:p w14:paraId="76787FE2" w14:textId="77777777" w:rsidR="00C8154F" w:rsidRDefault="00C8154F" w:rsidP="00382C8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081126E" w14:textId="6D0B7FAA" w:rsidR="009C4F74" w:rsidRDefault="009C4F74" w:rsidP="00382C8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</w:t>
      </w:r>
      <w:r w:rsidRPr="009C4F74">
        <w:rPr>
          <w:rFonts w:asciiTheme="minorHAnsi" w:hAnsiTheme="minorHAnsi"/>
          <w:sz w:val="22"/>
          <w:szCs w:val="22"/>
        </w:rPr>
        <w:t xml:space="preserve">We are incredibly excited to introduce HPA Dignity Health Arizona DST to </w:t>
      </w:r>
      <w:r w:rsidR="00833044">
        <w:rPr>
          <w:rFonts w:asciiTheme="minorHAnsi" w:hAnsiTheme="minorHAnsi"/>
          <w:sz w:val="22"/>
          <w:szCs w:val="22"/>
        </w:rPr>
        <w:t>broker-dealers, registered investment advisory firms, financial advisors and their accredited investor clients</w:t>
      </w:r>
      <w:r>
        <w:rPr>
          <w:rFonts w:asciiTheme="minorHAnsi" w:hAnsiTheme="minorHAnsi"/>
          <w:sz w:val="22"/>
          <w:szCs w:val="22"/>
        </w:rPr>
        <w:t xml:space="preserve">,” </w:t>
      </w:r>
      <w:r w:rsidRPr="00725C4A">
        <w:rPr>
          <w:rFonts w:asciiTheme="minorHAnsi" w:hAnsiTheme="minorHAnsi"/>
          <w:sz w:val="22"/>
          <w:szCs w:val="22"/>
        </w:rPr>
        <w:t>said Robert Lee, co-president and chief investment officer of HPA Exchange</w:t>
      </w:r>
      <w:r>
        <w:rPr>
          <w:rFonts w:asciiTheme="minorHAnsi" w:hAnsiTheme="minorHAnsi"/>
          <w:sz w:val="22"/>
          <w:szCs w:val="22"/>
        </w:rPr>
        <w:t>.</w:t>
      </w:r>
      <w:r w:rsidRPr="009C4F7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“</w:t>
      </w:r>
      <w:r w:rsidR="00725C4A" w:rsidRPr="00725C4A">
        <w:rPr>
          <w:rFonts w:asciiTheme="minorHAnsi" w:hAnsiTheme="minorHAnsi"/>
          <w:sz w:val="22"/>
          <w:szCs w:val="22"/>
        </w:rPr>
        <w:t xml:space="preserve">This </w:t>
      </w:r>
      <w:r w:rsidR="00833044">
        <w:rPr>
          <w:rFonts w:asciiTheme="minorHAnsi" w:hAnsiTheme="minorHAnsi"/>
          <w:sz w:val="22"/>
          <w:szCs w:val="22"/>
        </w:rPr>
        <w:t>offering</w:t>
      </w:r>
      <w:r w:rsidR="00725C4A" w:rsidRPr="00725C4A">
        <w:rPr>
          <w:rFonts w:asciiTheme="minorHAnsi" w:hAnsiTheme="minorHAnsi"/>
          <w:sz w:val="22"/>
          <w:szCs w:val="22"/>
        </w:rPr>
        <w:t xml:space="preserve"> is a prime example of our commitment to bringing institutional-quality, mission-critical healthcare real estate investment</w:t>
      </w:r>
      <w:r w:rsidR="00725C4A">
        <w:rPr>
          <w:rFonts w:asciiTheme="minorHAnsi" w:hAnsiTheme="minorHAnsi"/>
          <w:sz w:val="22"/>
          <w:szCs w:val="22"/>
        </w:rPr>
        <w:t xml:space="preserve"> opportunities</w:t>
      </w:r>
      <w:r w:rsidR="00725C4A" w:rsidRPr="00725C4A">
        <w:rPr>
          <w:rFonts w:asciiTheme="minorHAnsi" w:hAnsiTheme="minorHAnsi"/>
          <w:sz w:val="22"/>
          <w:szCs w:val="22"/>
        </w:rPr>
        <w:t xml:space="preserve"> to </w:t>
      </w:r>
      <w:r w:rsidR="00833044">
        <w:rPr>
          <w:rFonts w:asciiTheme="minorHAnsi" w:hAnsiTheme="minorHAnsi"/>
          <w:sz w:val="22"/>
          <w:szCs w:val="22"/>
        </w:rPr>
        <w:t>the alternative investment community</w:t>
      </w:r>
      <w:r w:rsidR="00725C4A" w:rsidRPr="00725C4A">
        <w:rPr>
          <w:rFonts w:asciiTheme="minorHAnsi" w:hAnsiTheme="minorHAnsi"/>
          <w:sz w:val="22"/>
          <w:szCs w:val="22"/>
        </w:rPr>
        <w:t xml:space="preserve">. Backed by a strong tenant and our team's extensive knowledge and experience, we are confident in this offering's </w:t>
      </w:r>
      <w:r w:rsidR="00157B22">
        <w:rPr>
          <w:rFonts w:asciiTheme="minorHAnsi" w:hAnsiTheme="minorHAnsi"/>
          <w:sz w:val="22"/>
          <w:szCs w:val="22"/>
        </w:rPr>
        <w:t>long-term investment fundamentals</w:t>
      </w:r>
      <w:r w:rsidR="00725C4A" w:rsidRPr="00725C4A">
        <w:rPr>
          <w:rFonts w:asciiTheme="minorHAnsi" w:hAnsiTheme="minorHAnsi"/>
          <w:sz w:val="22"/>
          <w:szCs w:val="22"/>
        </w:rPr>
        <w:t>.</w:t>
      </w:r>
      <w:r w:rsidR="00725C4A">
        <w:rPr>
          <w:rFonts w:asciiTheme="minorHAnsi" w:hAnsiTheme="minorHAnsi"/>
          <w:sz w:val="22"/>
          <w:szCs w:val="22"/>
        </w:rPr>
        <w:t>”</w:t>
      </w:r>
    </w:p>
    <w:p w14:paraId="62A19D83" w14:textId="77777777" w:rsidR="00DE2C9E" w:rsidRDefault="00DE2C9E" w:rsidP="00382C8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0F84CEF" w14:textId="4FB012DF" w:rsidR="00C8154F" w:rsidRDefault="00C8154F" w:rsidP="00C8154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Located at 7171 S. 51st Drive, t</w:t>
      </w:r>
      <w:r w:rsidR="00BE77DA">
        <w:rPr>
          <w:rFonts w:asciiTheme="minorHAnsi" w:hAnsiTheme="minorHAnsi"/>
          <w:sz w:val="22"/>
          <w:szCs w:val="22"/>
        </w:rPr>
        <w:t xml:space="preserve">he 3.92-acre property was built-to-suit and completed in 2014 for Arizona General, a wholly owned subsidiary of Dignity Health. </w:t>
      </w:r>
      <w:r>
        <w:rPr>
          <w:rFonts w:asciiTheme="minorHAnsi" w:hAnsiTheme="minorHAnsi"/>
          <w:sz w:val="22"/>
          <w:szCs w:val="22"/>
        </w:rPr>
        <w:t>The acute care micro-hospital is in Phoenix’s Laveen Village, approximately eight miles southwest of downtown.</w:t>
      </w:r>
      <w:r w:rsidRPr="00BE77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Including 38,900 rentable square feet, the hospital includes: a 24/7 emergency department; 16 patient beds; 10 emergency room beds; two advanced operating suites for surgical procedures; a full onsite laboratory; a full radiology suite with 64-slide CT scan, X-ray and ultrasound capabilities; a pharmacy; and a cafeteria. The hospital’s lease is guaranteed by Dignity Health.</w:t>
      </w:r>
    </w:p>
    <w:p w14:paraId="2E95C97F" w14:textId="77777777" w:rsidR="002B202B" w:rsidRDefault="002B202B" w:rsidP="00BF68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4B5221A" w14:textId="4767B014" w:rsidR="00E6226F" w:rsidRDefault="00816F10" w:rsidP="00BF68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multi-state nonprofit network, Dignity Health is a part of CommonSpirit Health, a nonprofit health system with more than 2,200 care sites in 24 states, 35,000 providers and 45,000 nurses. The health system has</w:t>
      </w:r>
      <w:r w:rsidR="00023C66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 xml:space="preserve">Moody’s credit rating of A3 as of March 2024 and reported revenues of $34.6 billion in its fiscal year 2023. Dignity Health has more than 10,000 physicians, 400 care centers, and a reported $10.8 billion 2023 annual revenue. </w:t>
      </w:r>
      <w:r w:rsidR="00880946">
        <w:rPr>
          <w:rFonts w:asciiTheme="minorHAnsi" w:hAnsiTheme="minorHAnsi"/>
          <w:sz w:val="22"/>
          <w:szCs w:val="22"/>
        </w:rPr>
        <w:t xml:space="preserve">As a part of CommonSpirit Health, Dignity Health is the largest Catholic health system in the nation, according to </w:t>
      </w:r>
      <w:r w:rsidR="002B202B">
        <w:rPr>
          <w:rFonts w:asciiTheme="minorHAnsi" w:hAnsiTheme="minorHAnsi"/>
          <w:sz w:val="22"/>
          <w:szCs w:val="22"/>
        </w:rPr>
        <w:t xml:space="preserve">rankings from Becker’s Hospital Review. </w:t>
      </w:r>
    </w:p>
    <w:p w14:paraId="69351D73" w14:textId="77777777" w:rsidR="0065066B" w:rsidRDefault="0065066B" w:rsidP="00BF68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1AB6F2F" w14:textId="77777777" w:rsidR="002B202B" w:rsidRDefault="002B202B" w:rsidP="00BF68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1E797A5" w14:textId="17ED707A" w:rsidR="00725C4A" w:rsidRDefault="00725C4A" w:rsidP="00BF6829">
      <w:pPr>
        <w:spacing w:line="276" w:lineRule="auto"/>
        <w:jc w:val="both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</w:rPr>
        <w:t>“</w:t>
      </w:r>
      <w:r w:rsidRPr="00725C4A">
        <w:rPr>
          <w:rFonts w:asciiTheme="minorHAnsi" w:hAnsiTheme="minorHAnsi"/>
          <w:sz w:val="22"/>
          <w:szCs w:val="22"/>
        </w:rPr>
        <w:t xml:space="preserve">This micro-hospital, leased to a leading healthcare system like Dignity Health, exemplifies the type of resilient, </w:t>
      </w:r>
      <w:r w:rsidR="0065066B">
        <w:rPr>
          <w:rFonts w:asciiTheme="minorHAnsi" w:hAnsiTheme="minorHAnsi"/>
          <w:sz w:val="22"/>
          <w:szCs w:val="22"/>
        </w:rPr>
        <w:t xml:space="preserve">high-quality </w:t>
      </w:r>
      <w:r w:rsidRPr="00725C4A">
        <w:rPr>
          <w:rFonts w:asciiTheme="minorHAnsi" w:hAnsiTheme="minorHAnsi"/>
          <w:sz w:val="22"/>
          <w:szCs w:val="22"/>
        </w:rPr>
        <w:t>properties we seek to offer through HPA Exchange</w:t>
      </w:r>
      <w:r>
        <w:rPr>
          <w:rFonts w:asciiTheme="minorHAnsi" w:hAnsiTheme="minorHAnsi"/>
          <w:sz w:val="22"/>
          <w:szCs w:val="22"/>
        </w:rPr>
        <w:t>,”</w:t>
      </w:r>
      <w:r w:rsidRPr="0034213E">
        <w:rPr>
          <w:rFonts w:asciiTheme="minorHAnsi" w:hAnsiTheme="minorHAnsi"/>
          <w:sz w:val="22"/>
          <w:szCs w:val="22"/>
        </w:rPr>
        <w:t xml:space="preserve"> said Thuy Turner, co-president and chief operating officer. “</w:t>
      </w:r>
      <w:r w:rsidR="0065066B" w:rsidRPr="0034213E">
        <w:rPr>
          <w:rFonts w:asciiTheme="minorHAnsi" w:hAnsiTheme="minorHAnsi"/>
          <w:sz w:val="22"/>
          <w:szCs w:val="22"/>
        </w:rPr>
        <w:t>Not</w:t>
      </w:r>
      <w:r w:rsidR="0065066B">
        <w:rPr>
          <w:rFonts w:asciiTheme="minorHAnsi" w:hAnsiTheme="minorHAnsi"/>
          <w:sz w:val="22"/>
          <w:szCs w:val="22"/>
        </w:rPr>
        <w:t xml:space="preserve"> only does this facility provide</w:t>
      </w:r>
      <w:r w:rsidR="00023C66">
        <w:rPr>
          <w:rFonts w:asciiTheme="minorHAnsi" w:hAnsiTheme="minorHAnsi"/>
          <w:sz w:val="22"/>
          <w:szCs w:val="22"/>
        </w:rPr>
        <w:t xml:space="preserve"> robust </w:t>
      </w:r>
      <w:r w:rsidR="0065066B">
        <w:rPr>
          <w:rFonts w:asciiTheme="minorHAnsi" w:hAnsiTheme="minorHAnsi"/>
          <w:sz w:val="22"/>
          <w:szCs w:val="22"/>
        </w:rPr>
        <w:t>healthcare access for the community, but we believe it will also resonate with investors seeking access healthcare</w:t>
      </w:r>
      <w:r w:rsidR="001B6BCB">
        <w:rPr>
          <w:rFonts w:asciiTheme="minorHAnsi" w:hAnsiTheme="minorHAnsi"/>
          <w:sz w:val="22"/>
          <w:szCs w:val="22"/>
        </w:rPr>
        <w:t xml:space="preserve"> investment</w:t>
      </w:r>
      <w:r w:rsidR="0065066B">
        <w:rPr>
          <w:rFonts w:asciiTheme="minorHAnsi" w:hAnsiTheme="minorHAnsi"/>
          <w:sz w:val="22"/>
          <w:szCs w:val="22"/>
        </w:rPr>
        <w:t xml:space="preserve"> </w:t>
      </w:r>
      <w:r w:rsidR="003135EB">
        <w:rPr>
          <w:rFonts w:asciiTheme="minorHAnsi" w:hAnsiTheme="minorHAnsi"/>
          <w:sz w:val="22"/>
          <w:szCs w:val="22"/>
        </w:rPr>
        <w:t>opportunities</w:t>
      </w:r>
      <w:r w:rsidR="001B6BCB">
        <w:rPr>
          <w:rFonts w:asciiTheme="minorHAnsi" w:hAnsiTheme="minorHAnsi"/>
          <w:sz w:val="22"/>
          <w:szCs w:val="22"/>
        </w:rPr>
        <w:t xml:space="preserve"> for Section 1031 exchanges and cash investments through the Delaware statutory trust structure</w:t>
      </w:r>
      <w:r w:rsidR="0065066B">
        <w:rPr>
          <w:rFonts w:asciiTheme="minorHAnsi" w:hAnsiTheme="minorHAnsi"/>
          <w:sz w:val="22"/>
          <w:szCs w:val="22"/>
        </w:rPr>
        <w:t>.”</w:t>
      </w:r>
    </w:p>
    <w:p w14:paraId="27C3FFA7" w14:textId="44F40EC6" w:rsidR="00725C4A" w:rsidRDefault="00725C4A" w:rsidP="00BF68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2F3E">
        <w:rPr>
          <w:rFonts w:asciiTheme="minorHAnsi" w:hAnsiTheme="minorHAnsi"/>
          <w:sz w:val="22"/>
          <w:szCs w:val="22"/>
          <w:highlight w:val="yellow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491F0D8" w14:textId="2ADA9525" w:rsidR="00DC7320" w:rsidRDefault="00DC7320" w:rsidP="00BF68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According to Jones Lang LaSalle’s </w:t>
      </w:r>
      <w:r w:rsidR="007615E6">
        <w:rPr>
          <w:rFonts w:asciiTheme="minorHAnsi" w:hAnsiTheme="minorHAnsi"/>
          <w:sz w:val="22"/>
          <w:szCs w:val="22"/>
        </w:rPr>
        <w:t xml:space="preserve">report, Medical Outpatient Building Perspective, released in April, </w:t>
      </w:r>
      <w:r w:rsidR="001F4D7D">
        <w:rPr>
          <w:rFonts w:asciiTheme="minorHAnsi" w:hAnsiTheme="minorHAnsi"/>
          <w:sz w:val="22"/>
          <w:szCs w:val="22"/>
        </w:rPr>
        <w:t xml:space="preserve">medical outpatient buildings have seen relentless demand and remain one of the most resilient commercial real estate property types. </w:t>
      </w:r>
    </w:p>
    <w:p w14:paraId="67B18A1C" w14:textId="77777777" w:rsidR="00146631" w:rsidRDefault="00146631" w:rsidP="00BF68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D8335D2" w14:textId="25AC94CA" w:rsidR="00D812DA" w:rsidRDefault="00D812DA" w:rsidP="00D812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24B00">
        <w:rPr>
          <w:rFonts w:asciiTheme="minorHAnsi" w:hAnsiTheme="minorHAnsi"/>
          <w:sz w:val="22"/>
          <w:szCs w:val="22"/>
        </w:rPr>
        <w:t xml:space="preserve">Healthcare Property Advisors is a vertically integrated institutional real estate fund manager, owner, operator and developer. </w:t>
      </w:r>
      <w:r w:rsidR="005271E3">
        <w:rPr>
          <w:rFonts w:asciiTheme="minorHAnsi" w:hAnsiTheme="minorHAnsi"/>
          <w:sz w:val="22"/>
          <w:szCs w:val="22"/>
        </w:rPr>
        <w:t xml:space="preserve">HPA launched </w:t>
      </w:r>
      <w:hyperlink r:id="rId13" w:history="1">
        <w:r w:rsidRPr="00224B00">
          <w:rPr>
            <w:rStyle w:val="Hyperlink"/>
            <w:rFonts w:asciiTheme="minorHAnsi" w:hAnsiTheme="minorHAnsi"/>
            <w:sz w:val="22"/>
            <w:szCs w:val="22"/>
          </w:rPr>
          <w:t>HPA Exchange LLC</w:t>
        </w:r>
      </w:hyperlink>
      <w:r w:rsidRPr="00224B00">
        <w:rPr>
          <w:rFonts w:asciiTheme="minorHAnsi" w:hAnsiTheme="minorHAnsi"/>
          <w:sz w:val="22"/>
          <w:szCs w:val="22"/>
        </w:rPr>
        <w:t xml:space="preserve"> in 2024 to bring institutional quality medical real estate investments to</w:t>
      </w:r>
      <w:r w:rsidR="00F56881">
        <w:rPr>
          <w:rFonts w:asciiTheme="minorHAnsi" w:hAnsiTheme="minorHAnsi"/>
          <w:sz w:val="22"/>
          <w:szCs w:val="22"/>
        </w:rPr>
        <w:t xml:space="preserve"> accredited investors via</w:t>
      </w:r>
      <w:r w:rsidRPr="00224B00">
        <w:rPr>
          <w:rFonts w:asciiTheme="minorHAnsi" w:hAnsiTheme="minorHAnsi"/>
          <w:sz w:val="22"/>
          <w:szCs w:val="22"/>
        </w:rPr>
        <w:t xml:space="preserve"> the </w:t>
      </w:r>
      <w:r>
        <w:rPr>
          <w:rFonts w:asciiTheme="minorHAnsi" w:hAnsiTheme="minorHAnsi"/>
          <w:sz w:val="22"/>
          <w:szCs w:val="22"/>
        </w:rPr>
        <w:t xml:space="preserve">broker-dealer and </w:t>
      </w:r>
      <w:r w:rsidR="00C8154F">
        <w:rPr>
          <w:rFonts w:asciiTheme="minorHAnsi" w:hAnsiTheme="minorHAnsi"/>
          <w:sz w:val="22"/>
          <w:szCs w:val="22"/>
        </w:rPr>
        <w:t xml:space="preserve">registered investment advisory firm </w:t>
      </w:r>
      <w:r w:rsidRPr="00224B00">
        <w:rPr>
          <w:rFonts w:asciiTheme="minorHAnsi" w:hAnsiTheme="minorHAnsi"/>
          <w:sz w:val="22"/>
          <w:szCs w:val="22"/>
        </w:rPr>
        <w:t>markets</w:t>
      </w:r>
      <w:r w:rsidR="00F56881">
        <w:rPr>
          <w:rFonts w:asciiTheme="minorHAnsi" w:hAnsiTheme="minorHAnsi"/>
          <w:sz w:val="22"/>
          <w:szCs w:val="22"/>
        </w:rPr>
        <w:t xml:space="preserve"> that cater to investors utilizing 1031 exchanges for their investment portfolios and estate planning purposes</w:t>
      </w:r>
      <w:r w:rsidR="009C4F74">
        <w:rPr>
          <w:rFonts w:asciiTheme="minorHAnsi" w:hAnsiTheme="minorHAnsi"/>
          <w:sz w:val="22"/>
          <w:szCs w:val="22"/>
        </w:rPr>
        <w:t>.</w:t>
      </w:r>
    </w:p>
    <w:p w14:paraId="31A694BD" w14:textId="77777777" w:rsidR="00AA67F5" w:rsidRDefault="00AA67F5" w:rsidP="00D812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7DF5AC5" w14:textId="5A84A50E" w:rsidR="00AA67F5" w:rsidRDefault="00AA67F5" w:rsidP="00D812D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67F5">
        <w:rPr>
          <w:rFonts w:asciiTheme="minorHAnsi" w:hAnsiTheme="minorHAnsi"/>
          <w:sz w:val="22"/>
          <w:szCs w:val="22"/>
        </w:rPr>
        <w:t>Section 1031 of the Internal Revenue Code allows for the deferral of capital gains taxes that may come from the sale of a business or investment property. To participate, a seller reinvests the proceeds of their sale into a replacement property that is of equal or greater value, also known as a like-kind exchange. The replacement property must be identified within 45 days, and the exchange completed within 180 days in order to defer up to 100% of any capital gain that resulted from the original sale. The gains are deferred, not forgiven, and will be taxed once the replacement property is sold or exchanged in another like-kind exchange.</w:t>
      </w:r>
    </w:p>
    <w:p w14:paraId="2D566F5F" w14:textId="77777777" w:rsidR="00146631" w:rsidRDefault="00146631" w:rsidP="0014663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C25434D" w14:textId="4904596D" w:rsidR="00BC1B02" w:rsidRDefault="00146631" w:rsidP="005D1E1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HPA Exchange seeks to offer</w:t>
      </w:r>
      <w:r w:rsidR="008D138A">
        <w:rPr>
          <w:rFonts w:asciiTheme="minorHAnsi" w:hAnsiTheme="minorHAnsi"/>
          <w:sz w:val="22"/>
          <w:szCs w:val="22"/>
        </w:rPr>
        <w:t xml:space="preserve"> institutional</w:t>
      </w:r>
      <w:r w:rsidR="007519D8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grade core and core-plus institutional</w:t>
      </w:r>
      <w:r w:rsidR="007519D8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quality properties that are operated by best-in-class healthcare systems, established physician groups and life science groups for outpatient purpose-built facilities. </w:t>
      </w:r>
      <w:r w:rsidR="0004473B">
        <w:rPr>
          <w:rFonts w:asciiTheme="minorHAnsi" w:hAnsiTheme="minorHAnsi"/>
          <w:sz w:val="22"/>
          <w:szCs w:val="22"/>
        </w:rPr>
        <w:t>The investment firm</w:t>
      </w:r>
      <w:r>
        <w:rPr>
          <w:rFonts w:asciiTheme="minorHAnsi" w:hAnsiTheme="minorHAnsi"/>
          <w:sz w:val="22"/>
          <w:szCs w:val="22"/>
        </w:rPr>
        <w:t xml:space="preserve"> is led by a seasoned management team with an average of </w:t>
      </w:r>
      <w:r w:rsidR="00B53FBE">
        <w:rPr>
          <w:rFonts w:asciiTheme="minorHAnsi" w:hAnsiTheme="minorHAnsi"/>
          <w:sz w:val="22"/>
          <w:szCs w:val="22"/>
        </w:rPr>
        <w:t xml:space="preserve">more than </w:t>
      </w:r>
      <w:r>
        <w:rPr>
          <w:rFonts w:asciiTheme="minorHAnsi" w:hAnsiTheme="minorHAnsi"/>
          <w:sz w:val="22"/>
          <w:szCs w:val="22"/>
        </w:rPr>
        <w:t>2</w:t>
      </w:r>
      <w:r w:rsidR="00B53FBE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years </w:t>
      </w:r>
      <w:r w:rsidR="00B53FBE">
        <w:rPr>
          <w:rFonts w:asciiTheme="minorHAnsi" w:hAnsiTheme="minorHAnsi"/>
          <w:sz w:val="22"/>
          <w:szCs w:val="22"/>
        </w:rPr>
        <w:t xml:space="preserve">each </w:t>
      </w:r>
      <w:r>
        <w:rPr>
          <w:rFonts w:asciiTheme="minorHAnsi" w:hAnsiTheme="minorHAnsi"/>
          <w:sz w:val="22"/>
          <w:szCs w:val="22"/>
        </w:rPr>
        <w:t>of experience in healthcare real estate</w:t>
      </w:r>
      <w:r w:rsidR="002B202B">
        <w:rPr>
          <w:rFonts w:asciiTheme="minorHAnsi" w:hAnsiTheme="minorHAnsi"/>
          <w:sz w:val="22"/>
          <w:szCs w:val="22"/>
        </w:rPr>
        <w:t>.</w:t>
      </w:r>
    </w:p>
    <w:p w14:paraId="7C9C8F0B" w14:textId="77777777" w:rsidR="001430F2" w:rsidRDefault="001430F2" w:rsidP="005D1E1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99D209C" w14:textId="34BA7A6B" w:rsidR="001B322F" w:rsidRPr="001B322F" w:rsidRDefault="001B322F" w:rsidP="001B322F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1B322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Abou</w:t>
      </w:r>
      <w:r w:rsidR="008049F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t </w:t>
      </w:r>
      <w:r w:rsidR="008049FE" w:rsidRPr="00EA11CC">
        <w:rPr>
          <w:rFonts w:ascii="Calibri" w:hAnsi="Calibri"/>
          <w:b/>
          <w:color w:val="000000"/>
          <w:sz w:val="22"/>
          <w:bdr w:val="none" w:sz="0" w:space="0" w:color="auto" w:frame="1"/>
        </w:rPr>
        <w:t>HPA Exchange</w:t>
      </w:r>
      <w:r w:rsidR="008049F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LLC</w:t>
      </w:r>
    </w:p>
    <w:p w14:paraId="7630E8E2" w14:textId="65FEEDA5" w:rsidR="008F5A7B" w:rsidRDefault="00D068D7" w:rsidP="00862D5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HPA Exchange LLC is </w:t>
      </w:r>
      <w:bookmarkStart w:id="0" w:name="_Hlk172961445"/>
      <w:r>
        <w:rPr>
          <w:rFonts w:asciiTheme="minorHAnsi" w:hAnsiTheme="minorHAnsi"/>
          <w:sz w:val="22"/>
          <w:szCs w:val="22"/>
        </w:rPr>
        <w:t>a new business platform created by</w:t>
      </w:r>
      <w:r w:rsidR="00C72571">
        <w:rPr>
          <w:rFonts w:asciiTheme="minorHAnsi" w:hAnsiTheme="minorHAnsi"/>
          <w:sz w:val="22"/>
          <w:szCs w:val="22"/>
        </w:rPr>
        <w:t xml:space="preserve"> the executive team of</w:t>
      </w:r>
      <w:r>
        <w:rPr>
          <w:rFonts w:asciiTheme="minorHAnsi" w:hAnsiTheme="minorHAnsi"/>
          <w:sz w:val="22"/>
          <w:szCs w:val="22"/>
        </w:rPr>
        <w:t xml:space="preserve"> Healthcare Property Advisors</w:t>
      </w:r>
      <w:r w:rsidR="00C72571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a vertically integrated healthcare real estate owner</w:t>
      </w:r>
      <w:r w:rsidR="00F56881">
        <w:rPr>
          <w:rFonts w:asciiTheme="minorHAnsi" w:hAnsiTheme="minorHAnsi"/>
          <w:sz w:val="22"/>
          <w:szCs w:val="22"/>
        </w:rPr>
        <w:t>, investor,</w:t>
      </w:r>
      <w:r w:rsidR="00042BE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and operato</w:t>
      </w:r>
      <w:bookmarkEnd w:id="0"/>
      <w:r>
        <w:rPr>
          <w:rFonts w:asciiTheme="minorHAnsi" w:hAnsiTheme="minorHAnsi"/>
          <w:sz w:val="22"/>
          <w:szCs w:val="22"/>
        </w:rPr>
        <w:t xml:space="preserve">r. The vertical integration of the firm allows HPA to leverage the relationships with a large network of healthcare systems, and provide </w:t>
      </w:r>
      <w:r w:rsidRPr="000754BD">
        <w:rPr>
          <w:rFonts w:asciiTheme="minorHAnsi" w:hAnsiTheme="minorHAnsi"/>
          <w:sz w:val="22"/>
          <w:szCs w:val="22"/>
        </w:rPr>
        <w:t xml:space="preserve">active asset management, </w:t>
      </w:r>
      <w:r>
        <w:rPr>
          <w:rFonts w:asciiTheme="minorHAnsi" w:hAnsiTheme="minorHAnsi"/>
          <w:sz w:val="22"/>
          <w:szCs w:val="22"/>
        </w:rPr>
        <w:t>investment</w:t>
      </w:r>
      <w:r w:rsidRPr="000754BD">
        <w:rPr>
          <w:rFonts w:asciiTheme="minorHAnsi" w:hAnsiTheme="minorHAnsi"/>
          <w:sz w:val="22"/>
          <w:szCs w:val="22"/>
        </w:rPr>
        <w:t xml:space="preserve"> and development of medical office buildings and outpatient facilities</w:t>
      </w:r>
      <w:r>
        <w:rPr>
          <w:rFonts w:asciiTheme="minorHAnsi" w:hAnsiTheme="minorHAnsi"/>
          <w:sz w:val="22"/>
          <w:szCs w:val="22"/>
        </w:rPr>
        <w:t>. Healthcare Property Advisors’ executive team has acquired or advised on the investment of more than $1 billion in healthcare</w:t>
      </w:r>
      <w:r w:rsidR="009C4F7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related properties</w:t>
      </w:r>
      <w:r w:rsidR="00146631">
        <w:rPr>
          <w:rFonts w:asciiTheme="minorHAnsi" w:hAnsiTheme="minorHAnsi"/>
          <w:sz w:val="22"/>
          <w:szCs w:val="22"/>
        </w:rPr>
        <w:t xml:space="preserve"> since</w:t>
      </w:r>
      <w:r w:rsidR="00D812DA">
        <w:rPr>
          <w:rFonts w:asciiTheme="minorHAnsi" w:hAnsiTheme="minorHAnsi"/>
          <w:sz w:val="22"/>
          <w:szCs w:val="22"/>
        </w:rPr>
        <w:t xml:space="preserve"> 20</w:t>
      </w:r>
      <w:r w:rsidR="005271E3">
        <w:rPr>
          <w:rFonts w:asciiTheme="minorHAnsi" w:hAnsiTheme="minorHAnsi"/>
          <w:sz w:val="22"/>
          <w:szCs w:val="22"/>
        </w:rPr>
        <w:t>1</w:t>
      </w:r>
      <w:r w:rsidR="00D812DA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</w:t>
      </w:r>
      <w:r w:rsidRPr="005A35E6">
        <w:rPr>
          <w:rFonts w:asciiTheme="minorHAnsi" w:hAnsiTheme="minorHAnsi"/>
          <w:sz w:val="22"/>
          <w:szCs w:val="22"/>
        </w:rPr>
        <w:t xml:space="preserve"> Headquarte</w:t>
      </w:r>
      <w:r>
        <w:rPr>
          <w:rFonts w:asciiTheme="minorHAnsi" w:hAnsiTheme="minorHAnsi"/>
          <w:sz w:val="22"/>
          <w:szCs w:val="22"/>
        </w:rPr>
        <w:t>r</w:t>
      </w:r>
      <w:r w:rsidRPr="005A35E6">
        <w:rPr>
          <w:rFonts w:asciiTheme="minorHAnsi" w:hAnsiTheme="minorHAnsi"/>
          <w:sz w:val="22"/>
          <w:szCs w:val="22"/>
        </w:rPr>
        <w:t>ed</w:t>
      </w:r>
      <w:r w:rsidR="005A35E6" w:rsidRPr="005A35E6">
        <w:rPr>
          <w:rFonts w:asciiTheme="minorHAnsi" w:hAnsiTheme="minorHAnsi"/>
          <w:sz w:val="22"/>
          <w:szCs w:val="22"/>
        </w:rPr>
        <w:t xml:space="preserve"> </w:t>
      </w:r>
      <w:r w:rsidR="005A35E6">
        <w:rPr>
          <w:rFonts w:asciiTheme="minorHAnsi" w:hAnsiTheme="minorHAnsi"/>
          <w:sz w:val="22"/>
          <w:szCs w:val="22"/>
        </w:rPr>
        <w:t xml:space="preserve">in Brea, California, HPA Exchange is </w:t>
      </w:r>
      <w:r w:rsidR="00964AF3">
        <w:rPr>
          <w:rFonts w:asciiTheme="minorHAnsi" w:hAnsiTheme="minorHAnsi"/>
          <w:sz w:val="22"/>
          <w:szCs w:val="22"/>
        </w:rPr>
        <w:t xml:space="preserve">a real estate investment </w:t>
      </w:r>
      <w:r w:rsidR="007D13D6">
        <w:rPr>
          <w:rFonts w:asciiTheme="minorHAnsi" w:hAnsiTheme="minorHAnsi"/>
          <w:sz w:val="22"/>
          <w:szCs w:val="22"/>
        </w:rPr>
        <w:t xml:space="preserve">sponsor </w:t>
      </w:r>
      <w:r w:rsidR="00B57968">
        <w:rPr>
          <w:rFonts w:asciiTheme="minorHAnsi" w:hAnsiTheme="minorHAnsi"/>
          <w:sz w:val="22"/>
          <w:szCs w:val="22"/>
        </w:rPr>
        <w:t xml:space="preserve">that provides private placement offerings focused on </w:t>
      </w:r>
      <w:r w:rsidR="00C25D6D">
        <w:rPr>
          <w:rFonts w:asciiTheme="minorHAnsi" w:hAnsiTheme="minorHAnsi"/>
          <w:sz w:val="22"/>
          <w:szCs w:val="22"/>
        </w:rPr>
        <w:t xml:space="preserve">medical </w:t>
      </w:r>
      <w:r w:rsidR="00B57968">
        <w:rPr>
          <w:rFonts w:asciiTheme="minorHAnsi" w:hAnsiTheme="minorHAnsi"/>
          <w:sz w:val="22"/>
          <w:szCs w:val="22"/>
        </w:rPr>
        <w:t xml:space="preserve">properties anchored by credit-tenant healthcare systems, physician groups, life science groups and other outpatient facilities. </w:t>
      </w:r>
      <w:r w:rsidR="00DA705A">
        <w:rPr>
          <w:rFonts w:asciiTheme="minorHAnsi" w:hAnsiTheme="minorHAnsi"/>
          <w:sz w:val="22"/>
          <w:szCs w:val="22"/>
        </w:rPr>
        <w:t xml:space="preserve">For more information, visit </w:t>
      </w:r>
      <w:hyperlink r:id="rId14" w:history="1">
        <w:r w:rsidR="00DA705A" w:rsidRPr="001D1360">
          <w:rPr>
            <w:rStyle w:val="Hyperlink"/>
            <w:rFonts w:asciiTheme="minorHAnsi" w:hAnsiTheme="minorHAnsi"/>
            <w:sz w:val="22"/>
            <w:szCs w:val="22"/>
          </w:rPr>
          <w:t>www.hpaxchange.com</w:t>
        </w:r>
      </w:hyperlink>
      <w:r w:rsidR="00DA705A">
        <w:rPr>
          <w:rFonts w:asciiTheme="minorHAnsi" w:hAnsiTheme="minorHAnsi"/>
          <w:sz w:val="22"/>
          <w:szCs w:val="22"/>
        </w:rPr>
        <w:t>.</w:t>
      </w:r>
    </w:p>
    <w:p w14:paraId="6FB8B065" w14:textId="77777777" w:rsidR="008F5A7B" w:rsidRDefault="008F5A7B" w:rsidP="00862D56">
      <w:pPr>
        <w:jc w:val="both"/>
        <w:rPr>
          <w:rFonts w:asciiTheme="minorHAnsi" w:hAnsiTheme="minorHAnsi"/>
          <w:sz w:val="22"/>
          <w:szCs w:val="22"/>
        </w:rPr>
      </w:pPr>
    </w:p>
    <w:p w14:paraId="56524D01" w14:textId="77777777" w:rsidR="00DD6AB8" w:rsidRDefault="00DD6AB8" w:rsidP="00862D56">
      <w:pPr>
        <w:jc w:val="both"/>
        <w:rPr>
          <w:rFonts w:asciiTheme="minorHAnsi" w:hAnsiTheme="minorHAnsi"/>
          <w:sz w:val="22"/>
          <w:szCs w:val="22"/>
        </w:rPr>
      </w:pPr>
    </w:p>
    <w:p w14:paraId="64EABDF7" w14:textId="73BC747B" w:rsidR="001A4CE4" w:rsidRDefault="00862D56" w:rsidP="001A4CE4">
      <w:pPr>
        <w:jc w:val="both"/>
        <w:rPr>
          <w:rFonts w:asciiTheme="minorHAnsi" w:hAnsiTheme="minorHAnsi"/>
          <w:sz w:val="22"/>
          <w:szCs w:val="22"/>
        </w:rPr>
      </w:pPr>
      <w:r w:rsidRPr="00042BE3">
        <w:rPr>
          <w:rFonts w:asciiTheme="minorHAnsi" w:hAnsiTheme="minorHAnsi"/>
          <w:sz w:val="22"/>
          <w:szCs w:val="22"/>
        </w:rPr>
        <w:lastRenderedPageBreak/>
        <w:t>HPA Exchange</w:t>
      </w:r>
      <w:r w:rsidR="00656680">
        <w:rPr>
          <w:rFonts w:asciiTheme="minorHAnsi" w:hAnsiTheme="minorHAnsi"/>
          <w:sz w:val="22"/>
          <w:szCs w:val="22"/>
        </w:rPr>
        <w:t>,</w:t>
      </w:r>
      <w:r w:rsidRPr="00042BE3">
        <w:rPr>
          <w:rFonts w:asciiTheme="minorHAnsi" w:hAnsiTheme="minorHAnsi"/>
          <w:sz w:val="22"/>
          <w:szCs w:val="22"/>
        </w:rPr>
        <w:t xml:space="preserve"> LLC offers securities through American Alternative Capital, LLC, member FINRA/SIPC. Only available in states where AAC is registered. AAC is </w:t>
      </w:r>
      <w:r w:rsidR="00656680">
        <w:rPr>
          <w:rFonts w:asciiTheme="minorHAnsi" w:hAnsiTheme="minorHAnsi"/>
          <w:sz w:val="22"/>
          <w:szCs w:val="22"/>
        </w:rPr>
        <w:t>independent of</w:t>
      </w:r>
      <w:r w:rsidRPr="00042BE3">
        <w:rPr>
          <w:rFonts w:asciiTheme="minorHAnsi" w:hAnsiTheme="minorHAnsi"/>
          <w:sz w:val="22"/>
          <w:szCs w:val="22"/>
        </w:rPr>
        <w:t xml:space="preserve"> HPA Exchange</w:t>
      </w:r>
      <w:r w:rsidR="00656680">
        <w:rPr>
          <w:rFonts w:asciiTheme="minorHAnsi" w:hAnsiTheme="minorHAnsi"/>
          <w:sz w:val="22"/>
          <w:szCs w:val="22"/>
        </w:rPr>
        <w:t>,</w:t>
      </w:r>
      <w:r w:rsidRPr="00042BE3">
        <w:rPr>
          <w:rFonts w:asciiTheme="minorHAnsi" w:hAnsiTheme="minorHAnsi"/>
          <w:sz w:val="22"/>
          <w:szCs w:val="22"/>
        </w:rPr>
        <w:t xml:space="preserve"> LLC</w:t>
      </w:r>
      <w:r w:rsidR="00656680">
        <w:rPr>
          <w:rFonts w:asciiTheme="minorHAnsi" w:hAnsiTheme="minorHAnsi"/>
          <w:sz w:val="22"/>
          <w:szCs w:val="22"/>
        </w:rPr>
        <w:t xml:space="preserve"> and Healthcare Property Advisors, LLC</w:t>
      </w:r>
      <w:r w:rsidRPr="00042BE3">
        <w:rPr>
          <w:rFonts w:asciiTheme="minorHAnsi" w:hAnsiTheme="minorHAnsi"/>
          <w:sz w:val="22"/>
          <w:szCs w:val="22"/>
        </w:rPr>
        <w:t xml:space="preserve">. This communication is provided for informational purposes only. Additional information is available upon request. Historical data does not guarantee future results. </w:t>
      </w:r>
      <w:r w:rsidR="00656680">
        <w:rPr>
          <w:rFonts w:asciiTheme="minorHAnsi" w:hAnsiTheme="minorHAnsi"/>
          <w:sz w:val="22"/>
          <w:szCs w:val="22"/>
        </w:rPr>
        <w:t>Delaware Statutory Trust and r</w:t>
      </w:r>
      <w:r w:rsidRPr="00042BE3">
        <w:rPr>
          <w:rFonts w:asciiTheme="minorHAnsi" w:hAnsiTheme="minorHAnsi"/>
          <w:sz w:val="22"/>
          <w:szCs w:val="22"/>
        </w:rPr>
        <w:t>eal estate security investments may be speculative, illiquid, and carry a high degree of risk – including the potential loss of the entire investment.</w:t>
      </w:r>
      <w:r w:rsidR="00656680">
        <w:rPr>
          <w:rFonts w:asciiTheme="minorHAnsi" w:hAnsiTheme="minorHAnsi"/>
          <w:sz w:val="22"/>
          <w:szCs w:val="22"/>
        </w:rPr>
        <w:t xml:space="preserve"> </w:t>
      </w:r>
      <w:r w:rsidR="00656680" w:rsidRPr="00656680">
        <w:rPr>
          <w:rFonts w:asciiTheme="minorHAnsi" w:hAnsiTheme="minorHAnsi"/>
          <w:sz w:val="22"/>
          <w:szCs w:val="22"/>
        </w:rPr>
        <w:t>The foregoing is not a complete list of all the risks related to this investment strategy. Investors should review the “Risk Factors”</w:t>
      </w:r>
      <w:r w:rsidR="00656680">
        <w:rPr>
          <w:rFonts w:asciiTheme="minorHAnsi" w:hAnsiTheme="minorHAnsi"/>
          <w:sz w:val="22"/>
          <w:szCs w:val="22"/>
        </w:rPr>
        <w:t xml:space="preserve"> </w:t>
      </w:r>
      <w:r w:rsidR="00656680" w:rsidRPr="00656680">
        <w:rPr>
          <w:rFonts w:asciiTheme="minorHAnsi" w:hAnsiTheme="minorHAnsi"/>
          <w:sz w:val="22"/>
          <w:szCs w:val="22"/>
        </w:rPr>
        <w:t>section in the private placement memorandum.</w:t>
      </w:r>
      <w:r w:rsidR="001A4CE4" w:rsidRPr="001A4CE4">
        <w:rPr>
          <w:rFonts w:asciiTheme="minorHAnsi" w:hAnsiTheme="minorHAnsi"/>
          <w:sz w:val="22"/>
          <w:szCs w:val="22"/>
        </w:rPr>
        <w:t xml:space="preserve"> </w:t>
      </w:r>
      <w:r w:rsidR="001A4CE4" w:rsidRPr="00DD6AB8">
        <w:rPr>
          <w:rFonts w:asciiTheme="minorHAnsi" w:hAnsiTheme="minorHAnsi"/>
          <w:sz w:val="22"/>
          <w:szCs w:val="22"/>
        </w:rPr>
        <w:t>“Investment-grade” refers to tenants whose long-term corporate debt rating is considered investment grade by Standard &amp;</w:t>
      </w:r>
      <w:r w:rsidR="001A4CE4">
        <w:rPr>
          <w:rFonts w:asciiTheme="minorHAnsi" w:hAnsiTheme="minorHAnsi"/>
          <w:sz w:val="22"/>
          <w:szCs w:val="22"/>
        </w:rPr>
        <w:t xml:space="preserve"> </w:t>
      </w:r>
      <w:r w:rsidR="001A4CE4" w:rsidRPr="00DD6AB8">
        <w:rPr>
          <w:rFonts w:asciiTheme="minorHAnsi" w:hAnsiTheme="minorHAnsi"/>
          <w:sz w:val="22"/>
          <w:szCs w:val="22"/>
        </w:rPr>
        <w:t>Poor’s, Moody’s, and/or Fitch. An investment grade rating is a rating that indicate</w:t>
      </w:r>
      <w:r w:rsidR="001A4CE4">
        <w:rPr>
          <w:rFonts w:asciiTheme="minorHAnsi" w:hAnsiTheme="minorHAnsi"/>
          <w:sz w:val="22"/>
          <w:szCs w:val="22"/>
        </w:rPr>
        <w:t xml:space="preserve">s </w:t>
      </w:r>
      <w:r w:rsidR="001A4CE4" w:rsidRPr="00DD6AB8">
        <w:rPr>
          <w:rFonts w:asciiTheme="minorHAnsi" w:hAnsiTheme="minorHAnsi"/>
          <w:sz w:val="22"/>
          <w:szCs w:val="22"/>
        </w:rPr>
        <w:t>that a corporate bond has a relatively lower</w:t>
      </w:r>
      <w:r w:rsidR="001A4CE4">
        <w:rPr>
          <w:rFonts w:asciiTheme="minorHAnsi" w:hAnsiTheme="minorHAnsi"/>
          <w:sz w:val="22"/>
          <w:szCs w:val="22"/>
        </w:rPr>
        <w:t xml:space="preserve"> </w:t>
      </w:r>
      <w:r w:rsidR="001A4CE4" w:rsidRPr="00DD6AB8">
        <w:rPr>
          <w:rFonts w:asciiTheme="minorHAnsi" w:hAnsiTheme="minorHAnsi"/>
          <w:sz w:val="22"/>
          <w:szCs w:val="22"/>
        </w:rPr>
        <w:t>risk of default than a corporate bond with a speculative grade.</w:t>
      </w:r>
    </w:p>
    <w:p w14:paraId="0F9E5C16" w14:textId="1C86A033" w:rsidR="001A4CE4" w:rsidRPr="007C6827" w:rsidRDefault="001A4CE4" w:rsidP="00862D56">
      <w:pPr>
        <w:jc w:val="both"/>
        <w:rPr>
          <w:rFonts w:asciiTheme="minorHAnsi" w:hAnsiTheme="minorHAnsi"/>
          <w:sz w:val="22"/>
          <w:szCs w:val="22"/>
        </w:rPr>
      </w:pPr>
    </w:p>
    <w:p w14:paraId="0D84D810" w14:textId="77777777" w:rsidR="004D1E59" w:rsidRDefault="004D1E59" w:rsidP="004D1E59">
      <w:pPr>
        <w:jc w:val="both"/>
        <w:rPr>
          <w:rFonts w:asciiTheme="minorHAnsi" w:hAnsiTheme="minorHAnsi"/>
          <w:i/>
          <w:iCs/>
          <w:sz w:val="20"/>
          <w:szCs w:val="20"/>
          <w:shd w:val="clear" w:color="auto" w:fill="FFFFFF"/>
        </w:rPr>
      </w:pPr>
    </w:p>
    <w:p w14:paraId="0ABA8545" w14:textId="6EA33725" w:rsidR="00382C86" w:rsidRDefault="00382C86" w:rsidP="00E274C6">
      <w:pPr>
        <w:jc w:val="center"/>
        <w:rPr>
          <w:rFonts w:asciiTheme="minorHAnsi" w:hAnsiTheme="minorHAnsi"/>
          <w:i/>
          <w:iCs/>
          <w:sz w:val="20"/>
          <w:szCs w:val="20"/>
          <w:shd w:val="clear" w:color="auto" w:fill="FFFFFF"/>
        </w:rPr>
      </w:pPr>
      <w:r>
        <w:rPr>
          <w:rFonts w:asciiTheme="minorHAnsi" w:hAnsiTheme="minorHAnsi"/>
          <w:i/>
          <w:iCs/>
          <w:sz w:val="20"/>
          <w:szCs w:val="20"/>
          <w:shd w:val="clear" w:color="auto" w:fill="FFFFFF"/>
        </w:rPr>
        <w:t>###</w:t>
      </w:r>
    </w:p>
    <w:p w14:paraId="45ED04B3" w14:textId="77777777" w:rsidR="005011BB" w:rsidRPr="00E274C6" w:rsidRDefault="005011BB" w:rsidP="00E274C6">
      <w:pPr>
        <w:jc w:val="center"/>
        <w:rPr>
          <w:rFonts w:asciiTheme="minorHAnsi" w:hAnsiTheme="minorHAnsi"/>
          <w:i/>
          <w:iCs/>
          <w:sz w:val="20"/>
          <w:szCs w:val="20"/>
        </w:rPr>
      </w:pPr>
    </w:p>
    <w:sectPr w:rsidR="005011BB" w:rsidRPr="00E274C6" w:rsidSect="00C40921">
      <w:headerReference w:type="default" r:id="rId15"/>
      <w:footerReference w:type="default" r:id="rId16"/>
      <w:headerReference w:type="first" r:id="rId17"/>
      <w:pgSz w:w="12240" w:h="15840"/>
      <w:pgMar w:top="79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4945D" w14:textId="77777777" w:rsidR="00E80EA6" w:rsidRDefault="00E80EA6">
      <w:r>
        <w:separator/>
      </w:r>
    </w:p>
  </w:endnote>
  <w:endnote w:type="continuationSeparator" w:id="0">
    <w:p w14:paraId="77FC6C50" w14:textId="77777777" w:rsidR="00E80EA6" w:rsidRDefault="00E80EA6">
      <w:r>
        <w:continuationSeparator/>
      </w:r>
    </w:p>
  </w:endnote>
  <w:endnote w:type="continuationNotice" w:id="1">
    <w:p w14:paraId="4A27BF98" w14:textId="77777777" w:rsidR="00E80EA6" w:rsidRDefault="00E80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503E" w14:textId="77777777" w:rsidR="00B3441D" w:rsidRDefault="00B3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30DC" w14:textId="77777777" w:rsidR="00E80EA6" w:rsidRDefault="00E80EA6">
      <w:r>
        <w:separator/>
      </w:r>
    </w:p>
  </w:footnote>
  <w:footnote w:type="continuationSeparator" w:id="0">
    <w:p w14:paraId="49ABBD2F" w14:textId="77777777" w:rsidR="00E80EA6" w:rsidRDefault="00E80EA6">
      <w:r>
        <w:continuationSeparator/>
      </w:r>
    </w:p>
  </w:footnote>
  <w:footnote w:type="continuationNotice" w:id="1">
    <w:p w14:paraId="0826D844" w14:textId="77777777" w:rsidR="00E80EA6" w:rsidRDefault="00E80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EBCC" w14:textId="77777777" w:rsidR="00B3441D" w:rsidRDefault="00B3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2F64" w14:textId="208E1726" w:rsidR="00E274C6" w:rsidRDefault="00E274C6" w:rsidP="00E274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959D2"/>
    <w:multiLevelType w:val="hybridMultilevel"/>
    <w:tmpl w:val="7700C912"/>
    <w:lvl w:ilvl="0" w:tplc="24EE0E1A">
      <w:start w:val="9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C7E22"/>
    <w:multiLevelType w:val="hybridMultilevel"/>
    <w:tmpl w:val="A2EA5A9E"/>
    <w:lvl w:ilvl="0" w:tplc="CB32E19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5749531">
    <w:abstractNumId w:val="0"/>
  </w:num>
  <w:num w:numId="2" w16cid:durableId="187769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86"/>
    <w:rsid w:val="00010A00"/>
    <w:rsid w:val="00010BB0"/>
    <w:rsid w:val="00023C66"/>
    <w:rsid w:val="00035B8B"/>
    <w:rsid w:val="00036B10"/>
    <w:rsid w:val="00042BE3"/>
    <w:rsid w:val="0004473B"/>
    <w:rsid w:val="00051600"/>
    <w:rsid w:val="00051663"/>
    <w:rsid w:val="00060926"/>
    <w:rsid w:val="00065602"/>
    <w:rsid w:val="0006717F"/>
    <w:rsid w:val="00070DF7"/>
    <w:rsid w:val="000732DF"/>
    <w:rsid w:val="000754BD"/>
    <w:rsid w:val="000821D0"/>
    <w:rsid w:val="0008355F"/>
    <w:rsid w:val="000A4228"/>
    <w:rsid w:val="000B37DA"/>
    <w:rsid w:val="000B63AF"/>
    <w:rsid w:val="000C40AD"/>
    <w:rsid w:val="0010453B"/>
    <w:rsid w:val="001147C9"/>
    <w:rsid w:val="00121746"/>
    <w:rsid w:val="001430F2"/>
    <w:rsid w:val="001451B8"/>
    <w:rsid w:val="00146631"/>
    <w:rsid w:val="001523DA"/>
    <w:rsid w:val="00157B22"/>
    <w:rsid w:val="00161087"/>
    <w:rsid w:val="0016366E"/>
    <w:rsid w:val="001712AF"/>
    <w:rsid w:val="00174BE5"/>
    <w:rsid w:val="00175136"/>
    <w:rsid w:val="00187D45"/>
    <w:rsid w:val="001975D4"/>
    <w:rsid w:val="001A4CE4"/>
    <w:rsid w:val="001B322F"/>
    <w:rsid w:val="001B6BCB"/>
    <w:rsid w:val="001C47FC"/>
    <w:rsid w:val="001D0040"/>
    <w:rsid w:val="001E7198"/>
    <w:rsid w:val="001F4D7D"/>
    <w:rsid w:val="001F6FDE"/>
    <w:rsid w:val="00201A73"/>
    <w:rsid w:val="00204556"/>
    <w:rsid w:val="002052A9"/>
    <w:rsid w:val="00215B55"/>
    <w:rsid w:val="00220787"/>
    <w:rsid w:val="00224B00"/>
    <w:rsid w:val="0023304D"/>
    <w:rsid w:val="00237C48"/>
    <w:rsid w:val="00251E2B"/>
    <w:rsid w:val="002560E6"/>
    <w:rsid w:val="00262942"/>
    <w:rsid w:val="00264A6B"/>
    <w:rsid w:val="002858D9"/>
    <w:rsid w:val="002963E8"/>
    <w:rsid w:val="002B202B"/>
    <w:rsid w:val="002B5312"/>
    <w:rsid w:val="002B6EAE"/>
    <w:rsid w:val="002B7C22"/>
    <w:rsid w:val="002D3625"/>
    <w:rsid w:val="002E0B19"/>
    <w:rsid w:val="002E201C"/>
    <w:rsid w:val="002F3922"/>
    <w:rsid w:val="002F3EF2"/>
    <w:rsid w:val="002F4BCE"/>
    <w:rsid w:val="003022E8"/>
    <w:rsid w:val="003135EB"/>
    <w:rsid w:val="003175FE"/>
    <w:rsid w:val="00321A54"/>
    <w:rsid w:val="00330D55"/>
    <w:rsid w:val="00332F79"/>
    <w:rsid w:val="0034213E"/>
    <w:rsid w:val="003566E9"/>
    <w:rsid w:val="003702A9"/>
    <w:rsid w:val="00382C86"/>
    <w:rsid w:val="00387AAC"/>
    <w:rsid w:val="00391CBE"/>
    <w:rsid w:val="00396CC2"/>
    <w:rsid w:val="003A17C8"/>
    <w:rsid w:val="003A3315"/>
    <w:rsid w:val="003B0920"/>
    <w:rsid w:val="003B71CA"/>
    <w:rsid w:val="003B7B66"/>
    <w:rsid w:val="003C1F12"/>
    <w:rsid w:val="003C77F5"/>
    <w:rsid w:val="003C7815"/>
    <w:rsid w:val="003D4F26"/>
    <w:rsid w:val="003D7A7F"/>
    <w:rsid w:val="003E4608"/>
    <w:rsid w:val="003F39E6"/>
    <w:rsid w:val="00413592"/>
    <w:rsid w:val="00413D84"/>
    <w:rsid w:val="00415B0D"/>
    <w:rsid w:val="00422F3E"/>
    <w:rsid w:val="0042453E"/>
    <w:rsid w:val="004247F6"/>
    <w:rsid w:val="004351F6"/>
    <w:rsid w:val="00451248"/>
    <w:rsid w:val="004627E5"/>
    <w:rsid w:val="00473D16"/>
    <w:rsid w:val="004808A8"/>
    <w:rsid w:val="0048131A"/>
    <w:rsid w:val="004854B8"/>
    <w:rsid w:val="004947CC"/>
    <w:rsid w:val="004A49DE"/>
    <w:rsid w:val="004C4E45"/>
    <w:rsid w:val="004C4FAF"/>
    <w:rsid w:val="004C59D9"/>
    <w:rsid w:val="004C6FF4"/>
    <w:rsid w:val="004D04D2"/>
    <w:rsid w:val="004D1E59"/>
    <w:rsid w:val="004D30D9"/>
    <w:rsid w:val="004E47CC"/>
    <w:rsid w:val="004E549B"/>
    <w:rsid w:val="004F2590"/>
    <w:rsid w:val="005011BB"/>
    <w:rsid w:val="0050309D"/>
    <w:rsid w:val="00507B18"/>
    <w:rsid w:val="00521189"/>
    <w:rsid w:val="0052173D"/>
    <w:rsid w:val="00524CA1"/>
    <w:rsid w:val="00526D2A"/>
    <w:rsid w:val="005271E3"/>
    <w:rsid w:val="005279A9"/>
    <w:rsid w:val="00544183"/>
    <w:rsid w:val="00545635"/>
    <w:rsid w:val="00563CFF"/>
    <w:rsid w:val="0056426C"/>
    <w:rsid w:val="0057367F"/>
    <w:rsid w:val="00577CE5"/>
    <w:rsid w:val="00582125"/>
    <w:rsid w:val="00590557"/>
    <w:rsid w:val="005A306B"/>
    <w:rsid w:val="005A35E6"/>
    <w:rsid w:val="005B1048"/>
    <w:rsid w:val="005B1620"/>
    <w:rsid w:val="005C5376"/>
    <w:rsid w:val="005C64EA"/>
    <w:rsid w:val="005C7E70"/>
    <w:rsid w:val="005D1E11"/>
    <w:rsid w:val="005D2980"/>
    <w:rsid w:val="005D6EFB"/>
    <w:rsid w:val="005E4866"/>
    <w:rsid w:val="00604BD8"/>
    <w:rsid w:val="00606CA5"/>
    <w:rsid w:val="00610026"/>
    <w:rsid w:val="00620623"/>
    <w:rsid w:val="00620D41"/>
    <w:rsid w:val="00632B32"/>
    <w:rsid w:val="00643B5A"/>
    <w:rsid w:val="0065066B"/>
    <w:rsid w:val="00652BB7"/>
    <w:rsid w:val="00656680"/>
    <w:rsid w:val="00676BB3"/>
    <w:rsid w:val="00676C63"/>
    <w:rsid w:val="006938FA"/>
    <w:rsid w:val="00695A3C"/>
    <w:rsid w:val="006A164F"/>
    <w:rsid w:val="006A3B7F"/>
    <w:rsid w:val="006B3E76"/>
    <w:rsid w:val="006B4122"/>
    <w:rsid w:val="006B710E"/>
    <w:rsid w:val="006C0CD7"/>
    <w:rsid w:val="006C30A9"/>
    <w:rsid w:val="006C3EC2"/>
    <w:rsid w:val="006C4019"/>
    <w:rsid w:val="006C6962"/>
    <w:rsid w:val="006C75B7"/>
    <w:rsid w:val="006D39C2"/>
    <w:rsid w:val="006D548B"/>
    <w:rsid w:val="006D7454"/>
    <w:rsid w:val="006E01E6"/>
    <w:rsid w:val="006E452C"/>
    <w:rsid w:val="006E56AC"/>
    <w:rsid w:val="006F1EE1"/>
    <w:rsid w:val="006F35EA"/>
    <w:rsid w:val="00701230"/>
    <w:rsid w:val="00703245"/>
    <w:rsid w:val="00705939"/>
    <w:rsid w:val="00715B7A"/>
    <w:rsid w:val="007220F2"/>
    <w:rsid w:val="00724D2B"/>
    <w:rsid w:val="00725C4A"/>
    <w:rsid w:val="00731C6A"/>
    <w:rsid w:val="00744F70"/>
    <w:rsid w:val="00745215"/>
    <w:rsid w:val="00745974"/>
    <w:rsid w:val="007519D8"/>
    <w:rsid w:val="0075508B"/>
    <w:rsid w:val="0076018A"/>
    <w:rsid w:val="00760355"/>
    <w:rsid w:val="007615E6"/>
    <w:rsid w:val="00776638"/>
    <w:rsid w:val="0078130B"/>
    <w:rsid w:val="00782404"/>
    <w:rsid w:val="00782DB8"/>
    <w:rsid w:val="00792484"/>
    <w:rsid w:val="007972F3"/>
    <w:rsid w:val="007A3004"/>
    <w:rsid w:val="007A3098"/>
    <w:rsid w:val="007B016A"/>
    <w:rsid w:val="007B15A4"/>
    <w:rsid w:val="007B5247"/>
    <w:rsid w:val="007C421C"/>
    <w:rsid w:val="007C662B"/>
    <w:rsid w:val="007C6827"/>
    <w:rsid w:val="007D0143"/>
    <w:rsid w:val="007D13D6"/>
    <w:rsid w:val="007D30A4"/>
    <w:rsid w:val="007E18BE"/>
    <w:rsid w:val="007E3EE3"/>
    <w:rsid w:val="007E43EC"/>
    <w:rsid w:val="007F1134"/>
    <w:rsid w:val="007F615A"/>
    <w:rsid w:val="008049FE"/>
    <w:rsid w:val="00814253"/>
    <w:rsid w:val="00816A54"/>
    <w:rsid w:val="00816F10"/>
    <w:rsid w:val="00826E27"/>
    <w:rsid w:val="00833044"/>
    <w:rsid w:val="00834835"/>
    <w:rsid w:val="00845416"/>
    <w:rsid w:val="00847D09"/>
    <w:rsid w:val="00853D96"/>
    <w:rsid w:val="00856F64"/>
    <w:rsid w:val="00862D56"/>
    <w:rsid w:val="00865437"/>
    <w:rsid w:val="008675AD"/>
    <w:rsid w:val="00880946"/>
    <w:rsid w:val="00885151"/>
    <w:rsid w:val="00897024"/>
    <w:rsid w:val="008A278C"/>
    <w:rsid w:val="008A5D6E"/>
    <w:rsid w:val="008A5F63"/>
    <w:rsid w:val="008A6023"/>
    <w:rsid w:val="008A6E49"/>
    <w:rsid w:val="008B0C3E"/>
    <w:rsid w:val="008B150C"/>
    <w:rsid w:val="008B7E62"/>
    <w:rsid w:val="008C7EBB"/>
    <w:rsid w:val="008D033A"/>
    <w:rsid w:val="008D138A"/>
    <w:rsid w:val="008D5A76"/>
    <w:rsid w:val="008E4680"/>
    <w:rsid w:val="008F5A7B"/>
    <w:rsid w:val="0090234D"/>
    <w:rsid w:val="00910688"/>
    <w:rsid w:val="0091206A"/>
    <w:rsid w:val="00912F3D"/>
    <w:rsid w:val="009260AF"/>
    <w:rsid w:val="009338AB"/>
    <w:rsid w:val="00933E5E"/>
    <w:rsid w:val="00934F7A"/>
    <w:rsid w:val="00942417"/>
    <w:rsid w:val="00946D44"/>
    <w:rsid w:val="00956698"/>
    <w:rsid w:val="0096116C"/>
    <w:rsid w:val="009614EC"/>
    <w:rsid w:val="0096167E"/>
    <w:rsid w:val="00964AF3"/>
    <w:rsid w:val="00987046"/>
    <w:rsid w:val="009872A3"/>
    <w:rsid w:val="00987325"/>
    <w:rsid w:val="00993D03"/>
    <w:rsid w:val="00995339"/>
    <w:rsid w:val="009A0DA8"/>
    <w:rsid w:val="009A197B"/>
    <w:rsid w:val="009A3995"/>
    <w:rsid w:val="009A515A"/>
    <w:rsid w:val="009A5417"/>
    <w:rsid w:val="009B2AFE"/>
    <w:rsid w:val="009B30BC"/>
    <w:rsid w:val="009B32A4"/>
    <w:rsid w:val="009B61E0"/>
    <w:rsid w:val="009B6397"/>
    <w:rsid w:val="009C087C"/>
    <w:rsid w:val="009C4F74"/>
    <w:rsid w:val="009C58A1"/>
    <w:rsid w:val="009D035A"/>
    <w:rsid w:val="009D0DD3"/>
    <w:rsid w:val="009D12E6"/>
    <w:rsid w:val="009D525E"/>
    <w:rsid w:val="009D68DB"/>
    <w:rsid w:val="009D6B9E"/>
    <w:rsid w:val="009E2BF7"/>
    <w:rsid w:val="009E48C6"/>
    <w:rsid w:val="009F02E8"/>
    <w:rsid w:val="009F462C"/>
    <w:rsid w:val="009F5A3A"/>
    <w:rsid w:val="00A003FC"/>
    <w:rsid w:val="00A03F10"/>
    <w:rsid w:val="00A10325"/>
    <w:rsid w:val="00A109BB"/>
    <w:rsid w:val="00A1627E"/>
    <w:rsid w:val="00A25B62"/>
    <w:rsid w:val="00A40175"/>
    <w:rsid w:val="00A435D6"/>
    <w:rsid w:val="00A439B4"/>
    <w:rsid w:val="00A55076"/>
    <w:rsid w:val="00A55A22"/>
    <w:rsid w:val="00A62450"/>
    <w:rsid w:val="00A64C61"/>
    <w:rsid w:val="00A67C78"/>
    <w:rsid w:val="00A8128A"/>
    <w:rsid w:val="00A81C0F"/>
    <w:rsid w:val="00A87E3B"/>
    <w:rsid w:val="00A92056"/>
    <w:rsid w:val="00A92CD4"/>
    <w:rsid w:val="00AA1A4D"/>
    <w:rsid w:val="00AA67F5"/>
    <w:rsid w:val="00AE0C56"/>
    <w:rsid w:val="00AF3188"/>
    <w:rsid w:val="00AF59A9"/>
    <w:rsid w:val="00B04AD4"/>
    <w:rsid w:val="00B31F21"/>
    <w:rsid w:val="00B3441D"/>
    <w:rsid w:val="00B35ECD"/>
    <w:rsid w:val="00B440CB"/>
    <w:rsid w:val="00B4791A"/>
    <w:rsid w:val="00B53FBE"/>
    <w:rsid w:val="00B5548D"/>
    <w:rsid w:val="00B57968"/>
    <w:rsid w:val="00B61076"/>
    <w:rsid w:val="00B730C8"/>
    <w:rsid w:val="00B940A5"/>
    <w:rsid w:val="00B96A36"/>
    <w:rsid w:val="00B97587"/>
    <w:rsid w:val="00BA0C1C"/>
    <w:rsid w:val="00BA2781"/>
    <w:rsid w:val="00BA791C"/>
    <w:rsid w:val="00BB2206"/>
    <w:rsid w:val="00BC1B02"/>
    <w:rsid w:val="00BC23BC"/>
    <w:rsid w:val="00BC3350"/>
    <w:rsid w:val="00BC6E65"/>
    <w:rsid w:val="00BD347C"/>
    <w:rsid w:val="00BE2330"/>
    <w:rsid w:val="00BE77DA"/>
    <w:rsid w:val="00BF0F69"/>
    <w:rsid w:val="00BF2304"/>
    <w:rsid w:val="00BF2797"/>
    <w:rsid w:val="00BF6829"/>
    <w:rsid w:val="00C0108F"/>
    <w:rsid w:val="00C03D1B"/>
    <w:rsid w:val="00C10777"/>
    <w:rsid w:val="00C25D6D"/>
    <w:rsid w:val="00C25E87"/>
    <w:rsid w:val="00C27468"/>
    <w:rsid w:val="00C31DF3"/>
    <w:rsid w:val="00C33FAA"/>
    <w:rsid w:val="00C40663"/>
    <w:rsid w:val="00C40921"/>
    <w:rsid w:val="00C4274E"/>
    <w:rsid w:val="00C72571"/>
    <w:rsid w:val="00C72757"/>
    <w:rsid w:val="00C737DB"/>
    <w:rsid w:val="00C8024B"/>
    <w:rsid w:val="00C8154F"/>
    <w:rsid w:val="00C85762"/>
    <w:rsid w:val="00C96E4F"/>
    <w:rsid w:val="00CB0F7D"/>
    <w:rsid w:val="00CB7B3D"/>
    <w:rsid w:val="00CC0A10"/>
    <w:rsid w:val="00CC4B2D"/>
    <w:rsid w:val="00CC6B95"/>
    <w:rsid w:val="00CD1648"/>
    <w:rsid w:val="00CD2975"/>
    <w:rsid w:val="00CD4F7B"/>
    <w:rsid w:val="00CD7E03"/>
    <w:rsid w:val="00CE1E18"/>
    <w:rsid w:val="00CE5477"/>
    <w:rsid w:val="00CE6BB3"/>
    <w:rsid w:val="00CF1A6E"/>
    <w:rsid w:val="00CF2E26"/>
    <w:rsid w:val="00D068D7"/>
    <w:rsid w:val="00D278A1"/>
    <w:rsid w:val="00D308B0"/>
    <w:rsid w:val="00D30C2B"/>
    <w:rsid w:val="00D40BA4"/>
    <w:rsid w:val="00D419E7"/>
    <w:rsid w:val="00D50F98"/>
    <w:rsid w:val="00D562A1"/>
    <w:rsid w:val="00D61A13"/>
    <w:rsid w:val="00D72784"/>
    <w:rsid w:val="00D75A77"/>
    <w:rsid w:val="00D812DA"/>
    <w:rsid w:val="00D9469C"/>
    <w:rsid w:val="00DA01C7"/>
    <w:rsid w:val="00DA0A98"/>
    <w:rsid w:val="00DA6DA7"/>
    <w:rsid w:val="00DA705A"/>
    <w:rsid w:val="00DB536F"/>
    <w:rsid w:val="00DB71EC"/>
    <w:rsid w:val="00DC0D57"/>
    <w:rsid w:val="00DC7320"/>
    <w:rsid w:val="00DD496C"/>
    <w:rsid w:val="00DD6AB8"/>
    <w:rsid w:val="00DE2C9E"/>
    <w:rsid w:val="00DE6178"/>
    <w:rsid w:val="00DE659F"/>
    <w:rsid w:val="00DE7658"/>
    <w:rsid w:val="00DF6D40"/>
    <w:rsid w:val="00E0399C"/>
    <w:rsid w:val="00E06F40"/>
    <w:rsid w:val="00E10E0C"/>
    <w:rsid w:val="00E22DB4"/>
    <w:rsid w:val="00E274C6"/>
    <w:rsid w:val="00E338A7"/>
    <w:rsid w:val="00E42C1A"/>
    <w:rsid w:val="00E54A67"/>
    <w:rsid w:val="00E55824"/>
    <w:rsid w:val="00E57195"/>
    <w:rsid w:val="00E61023"/>
    <w:rsid w:val="00E62062"/>
    <w:rsid w:val="00E6226F"/>
    <w:rsid w:val="00E64029"/>
    <w:rsid w:val="00E64636"/>
    <w:rsid w:val="00E716D2"/>
    <w:rsid w:val="00E80EA6"/>
    <w:rsid w:val="00E86746"/>
    <w:rsid w:val="00E86C8B"/>
    <w:rsid w:val="00E92694"/>
    <w:rsid w:val="00E95A78"/>
    <w:rsid w:val="00EA11CC"/>
    <w:rsid w:val="00EA32F9"/>
    <w:rsid w:val="00EA6724"/>
    <w:rsid w:val="00EA7819"/>
    <w:rsid w:val="00EC694C"/>
    <w:rsid w:val="00ED10FF"/>
    <w:rsid w:val="00ED46C0"/>
    <w:rsid w:val="00EF5FC5"/>
    <w:rsid w:val="00EF749C"/>
    <w:rsid w:val="00EF77B3"/>
    <w:rsid w:val="00F03C2A"/>
    <w:rsid w:val="00F079B1"/>
    <w:rsid w:val="00F1071D"/>
    <w:rsid w:val="00F13173"/>
    <w:rsid w:val="00F17585"/>
    <w:rsid w:val="00F20D2C"/>
    <w:rsid w:val="00F276BE"/>
    <w:rsid w:val="00F3048A"/>
    <w:rsid w:val="00F3316D"/>
    <w:rsid w:val="00F54166"/>
    <w:rsid w:val="00F56881"/>
    <w:rsid w:val="00F60526"/>
    <w:rsid w:val="00F6584F"/>
    <w:rsid w:val="00F71A51"/>
    <w:rsid w:val="00F72BE3"/>
    <w:rsid w:val="00F90BB6"/>
    <w:rsid w:val="00F91FF7"/>
    <w:rsid w:val="00F959EF"/>
    <w:rsid w:val="00FA6621"/>
    <w:rsid w:val="00FB022A"/>
    <w:rsid w:val="00FB3440"/>
    <w:rsid w:val="00FB49F3"/>
    <w:rsid w:val="00FC0DBD"/>
    <w:rsid w:val="00FC1D52"/>
    <w:rsid w:val="00FC5869"/>
    <w:rsid w:val="00FD6866"/>
    <w:rsid w:val="00FD6B30"/>
    <w:rsid w:val="00FF3AF1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138B"/>
  <w15:chartTrackingRefBased/>
  <w15:docId w15:val="{E17C4228-3189-48C4-855F-E3EC20BB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C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8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2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C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C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0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D50F9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55A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20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F1E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47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paxchang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e@spotlightmarcom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paxcha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97C5B8A4B7D42BCE1AE2BFF97A53D" ma:contentTypeVersion="19" ma:contentTypeDescription="Create a new document." ma:contentTypeScope="" ma:versionID="e1e35ad97bf71827875a1965b083def6">
  <xsd:schema xmlns:xsd="http://www.w3.org/2001/XMLSchema" xmlns:xs="http://www.w3.org/2001/XMLSchema" xmlns:p="http://schemas.microsoft.com/office/2006/metadata/properties" xmlns:ns2="2842f433-bb48-4900-9980-75414dc55fa2" xmlns:ns3="5ff7c39f-6370-4e0d-8c3f-524b680c432e" targetNamespace="http://schemas.microsoft.com/office/2006/metadata/properties" ma:root="true" ma:fieldsID="44402fb4c2f2c07a3be4d6d73159d19b" ns2:_="" ns3:_="">
    <xsd:import namespace="2842f433-bb48-4900-9980-75414dc55fa2"/>
    <xsd:import namespace="5ff7c39f-6370-4e0d-8c3f-524b680c43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2f433-bb48-4900-9980-75414dc5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default="" ma:fieldId="{5cf76f15-5ced-4ddc-b409-7134ff3c332f}" ma:taxonomyMulti="true" ma:sspId="032f4ff4-823f-48a8-bd3e-df17c8762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c39f-6370-4e0d-8c3f-524b680c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9583c4ca-13a2-436d-bb5b-a407e3bd69a3}" ma:internalName="TaxCatchAll" ma:readOnly="false" ma:showField="CatchAllData" ma:web="5ff7c39f-6370-4e0d-8c3f-524b680c4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4AA8C2D3D4D4E874B761E5E42F3C8" ma:contentTypeVersion="9" ma:contentTypeDescription="Create a new document." ma:contentTypeScope="" ma:versionID="362490ea73319a4a5c0426c3b2d06302">
  <xsd:schema xmlns:xsd="http://www.w3.org/2001/XMLSchema" xmlns:xs="http://www.w3.org/2001/XMLSchema" xmlns:p="http://schemas.microsoft.com/office/2006/metadata/properties" xmlns:ns3="35c55901-4eca-4504-b9d5-fd47d2affafe" xmlns:ns4="8faea209-1612-409a-9f8a-2e112861dfa3" targetNamespace="http://schemas.microsoft.com/office/2006/metadata/properties" ma:root="true" ma:fieldsID="c1136b0d1713684742d279cefc61d40c" ns3:_="" ns4:_="">
    <xsd:import namespace="35c55901-4eca-4504-b9d5-fd47d2affafe"/>
    <xsd:import namespace="8faea209-1612-409a-9f8a-2e112861d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5901-4eca-4504-b9d5-fd47d2aff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a209-1612-409a-9f8a-2e112861d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44F21-EB4E-4426-BEE9-6D051DF1A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2f433-bb48-4900-9980-75414dc55fa2"/>
    <ds:schemaRef ds:uri="5ff7c39f-6370-4e0d-8c3f-524b680c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8828B-7E26-45A3-8ED0-A1FE8746E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675BC-97BC-48F7-AA3F-744239BD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55901-4eca-4504-b9d5-fd47d2affafe"/>
    <ds:schemaRef ds:uri="8faea209-1612-409a-9f8a-2e112861d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89CFB-F910-4D70-A2FA-362C79FC14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Bryant</dc:creator>
  <cp:keywords/>
  <dc:description/>
  <cp:lastModifiedBy>Lori DeLuna</cp:lastModifiedBy>
  <cp:revision>2</cp:revision>
  <dcterms:created xsi:type="dcterms:W3CDTF">2024-09-18T16:33:00Z</dcterms:created>
  <dcterms:modified xsi:type="dcterms:W3CDTF">2024-09-18T16:33:00Z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0x010100E5B4AA8C2D3D4D4E874B761E5E42F3C8</vt:lpwstr>
  </property>
</Properties>
</file>